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615" w:rsidRDefault="002147CE" w:rsidP="0004302F">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BÁO CÁO</w:t>
      </w:r>
      <w:r w:rsidR="00752C41" w:rsidRPr="00614AD4">
        <w:rPr>
          <w:rFonts w:ascii="Times New Roman" w:hAnsi="Times New Roman" w:cs="Times New Roman"/>
          <w:b/>
          <w:sz w:val="28"/>
          <w:szCs w:val="28"/>
        </w:rPr>
        <w:t xml:space="preserve"> LÀM RÕ </w:t>
      </w:r>
      <w:r>
        <w:rPr>
          <w:rFonts w:ascii="Times New Roman" w:hAnsi="Times New Roman" w:cs="Times New Roman"/>
          <w:b/>
          <w:sz w:val="28"/>
          <w:szCs w:val="28"/>
        </w:rPr>
        <w:t>7</w:t>
      </w:r>
      <w:r w:rsidR="00752C41" w:rsidRPr="00614AD4">
        <w:rPr>
          <w:rFonts w:ascii="Times New Roman" w:hAnsi="Times New Roman" w:cs="Times New Roman"/>
          <w:b/>
          <w:sz w:val="28"/>
          <w:szCs w:val="28"/>
        </w:rPr>
        <w:t xml:space="preserve"> NỘI</w:t>
      </w:r>
      <w:r w:rsidR="00752C41" w:rsidRPr="00746A17">
        <w:rPr>
          <w:rFonts w:ascii="Times New Roman" w:hAnsi="Times New Roman" w:cs="Times New Roman"/>
          <w:b/>
          <w:sz w:val="28"/>
          <w:szCs w:val="28"/>
        </w:rPr>
        <w:t xml:space="preserve"> DUNG </w:t>
      </w:r>
      <w:r w:rsidR="007253F8" w:rsidRPr="00746A17">
        <w:rPr>
          <w:rFonts w:ascii="Times New Roman" w:hAnsi="Times New Roman" w:cs="Times New Roman"/>
          <w:b/>
          <w:sz w:val="28"/>
          <w:szCs w:val="28"/>
        </w:rPr>
        <w:t xml:space="preserve">VỀ NGHỊ ĐỊNH </w:t>
      </w:r>
      <w:r w:rsidR="00213615" w:rsidRPr="00213615">
        <w:rPr>
          <w:rFonts w:ascii="Times New Roman" w:hAnsi="Times New Roman" w:cs="Times New Roman"/>
          <w:b/>
          <w:sz w:val="28"/>
          <w:szCs w:val="28"/>
        </w:rPr>
        <w:t xml:space="preserve">QUY ĐỊNH CHI TIẾT HOẠT ĐỘNG ĐẦU TƯ TỪ QUỸ BẢO HIỂM XÃ HỘI, BẢO HIỂM Y TẾ, BẢO HIỂM THẤT NGHIỆP </w:t>
      </w:r>
    </w:p>
    <w:p w:rsidR="009B63ED" w:rsidRDefault="00213615" w:rsidP="0004302F">
      <w:pPr>
        <w:spacing w:before="120" w:after="0" w:line="240" w:lineRule="auto"/>
        <w:jc w:val="center"/>
        <w:rPr>
          <w:rFonts w:ascii="Times New Roman" w:hAnsi="Times New Roman" w:cs="Times New Roman"/>
          <w:b/>
          <w:sz w:val="28"/>
          <w:szCs w:val="28"/>
        </w:rPr>
      </w:pPr>
      <w:r w:rsidRPr="00213615">
        <w:rPr>
          <w:rFonts w:ascii="Times New Roman" w:hAnsi="Times New Roman" w:cs="Times New Roman"/>
          <w:b/>
          <w:sz w:val="28"/>
          <w:szCs w:val="28"/>
        </w:rPr>
        <w:t>(THAY THẾ NGHỊ ĐỊNH SỐ 30/2016/NĐ-CP)</w:t>
      </w:r>
    </w:p>
    <w:p w:rsidR="00895341" w:rsidRPr="00746A17" w:rsidRDefault="00895341" w:rsidP="0004302F">
      <w:pPr>
        <w:spacing w:before="120" w:after="0" w:line="240" w:lineRule="auto"/>
        <w:jc w:val="center"/>
        <w:rPr>
          <w:rFonts w:ascii="Times New Roman" w:hAnsi="Times New Roman" w:cs="Times New Roman"/>
          <w:b/>
          <w:sz w:val="28"/>
          <w:szCs w:val="28"/>
        </w:rPr>
      </w:pPr>
    </w:p>
    <w:p w:rsidR="002147CE" w:rsidRPr="002147CE" w:rsidRDefault="002147CE" w:rsidP="002147CE">
      <w:pPr>
        <w:pStyle w:val="ListParagraph"/>
        <w:spacing w:before="120" w:after="0" w:line="240" w:lineRule="auto"/>
        <w:ind w:left="0" w:firstLine="709"/>
        <w:contextualSpacing w:val="0"/>
        <w:rPr>
          <w:rFonts w:ascii="Times New Roman" w:hAnsi="Times New Roman" w:cs="Times New Roman"/>
          <w:b/>
          <w:sz w:val="28"/>
          <w:szCs w:val="28"/>
        </w:rPr>
      </w:pPr>
      <w:r w:rsidRPr="002147CE">
        <w:rPr>
          <w:rFonts w:ascii="Times New Roman" w:hAnsi="Times New Roman" w:cs="Times New Roman"/>
          <w:b/>
          <w:sz w:val="28"/>
          <w:szCs w:val="28"/>
        </w:rPr>
        <w:t>1. Về việc cụ thể đường lối, chính sách của Đảng</w:t>
      </w:r>
    </w:p>
    <w:p w:rsidR="003435A7" w:rsidRDefault="002147CE" w:rsidP="002147CE">
      <w:pPr>
        <w:pStyle w:val="ListParagraph"/>
        <w:spacing w:before="120"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Thực hiện </w:t>
      </w:r>
      <w:r w:rsidRPr="002147CE">
        <w:rPr>
          <w:rFonts w:ascii="Times New Roman" w:hAnsi="Times New Roman" w:cs="Times New Roman"/>
          <w:sz w:val="28"/>
          <w:szCs w:val="28"/>
        </w:rPr>
        <w:t>Nghị quyết số 28-NQ/TW ngày 23/5/2018</w:t>
      </w:r>
      <w:r>
        <w:rPr>
          <w:rFonts w:ascii="Times New Roman" w:hAnsi="Times New Roman" w:cs="Times New Roman"/>
          <w:sz w:val="28"/>
          <w:szCs w:val="28"/>
        </w:rPr>
        <w:t xml:space="preserve"> của Ban chấp hành trung ương</w:t>
      </w:r>
      <w:r w:rsidRPr="002147CE">
        <w:rPr>
          <w:rFonts w:ascii="Times New Roman" w:hAnsi="Times New Roman" w:cs="Times New Roman"/>
          <w:sz w:val="28"/>
          <w:szCs w:val="28"/>
        </w:rPr>
        <w:t xml:space="preserve"> về cải cách chính sách Bảo hiểm xã hội Việt Nam (BHXH), trong đó liên quan đến đầu tư tăng trưởng quỹ BHXH, Nghị quyết chủ trương: “Tăng cường công tác đánh giá, dự báo tài chính, hiệu quả đầu tư các quỹ BHXH; đa dạng hóa danh mục, cơ cấu đầu tư Quỹ BHXH theo nguyên tắc an toàn, bền vững và hiệu quả; ưu tiên đầu tư vào trái phiếu Chính phủ, nhất là trái phiếu Chính phủ dài hạn; nghiên cứu từng bước mở rộng sang các lĩnh vực có khả năng sinh lời cao, từng bước và có lộ trình đầu tư một phần tiền nhàn rỗi của Quỹ thông qua ủy thác đầu tư tại thị trường trong nước và quốc tế bảo đảm an toàn, bền vững”; đồng thời, về nhiệm vụ, giải pháp chủ yếu đã đề ra: “Có quy định cụ thể và cơ chế quản lý chặt chẽ việc đầu tư Quỹ BHXH, bảo đảm việc đầu tư Quỹ BHXH an toàn, bền vững, hiệu quả”. Trên cơ sở Nghị quyết này, Quốc hội đã ban hành Luật Bảo hiểm xã hội năm 2024</w:t>
      </w:r>
      <w:r>
        <w:rPr>
          <w:rFonts w:ascii="Times New Roman" w:hAnsi="Times New Roman" w:cs="Times New Roman"/>
          <w:sz w:val="28"/>
          <w:szCs w:val="28"/>
        </w:rPr>
        <w:t>, trong đó giao Chính phủ</w:t>
      </w:r>
      <w:r w:rsidR="003435A7">
        <w:rPr>
          <w:rFonts w:ascii="Times New Roman" w:hAnsi="Times New Roman" w:cs="Times New Roman"/>
          <w:sz w:val="28"/>
          <w:szCs w:val="28"/>
        </w:rPr>
        <w:t xml:space="preserve"> </w:t>
      </w:r>
      <w:r w:rsidR="003435A7" w:rsidRPr="003435A7">
        <w:rPr>
          <w:rFonts w:ascii="Times New Roman" w:hAnsi="Times New Roman" w:cs="Times New Roman"/>
          <w:sz w:val="28"/>
          <w:szCs w:val="28"/>
        </w:rPr>
        <w:t>quy định về hoạt động đầu tư quỹ bảo hiểm xã hội</w:t>
      </w:r>
      <w:r w:rsidR="003435A7">
        <w:rPr>
          <w:rFonts w:ascii="Times New Roman" w:hAnsi="Times New Roman" w:cs="Times New Roman"/>
          <w:sz w:val="28"/>
          <w:szCs w:val="28"/>
        </w:rPr>
        <w:t xml:space="preserve">. </w:t>
      </w:r>
    </w:p>
    <w:p w:rsidR="002147CE" w:rsidRDefault="003435A7" w:rsidP="002147CE">
      <w:pPr>
        <w:pStyle w:val="ListParagraph"/>
        <w:spacing w:before="120"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Các nội dụng tại Dự thảo Nghị định được xây dựng theo đúng chủ trương tại Nghị quyết số 28-NQ/TW, bao gồm các nội dung về: (i) tăng cường công tác đánh giá, dự báo tài chính, hiệu quả đầu tư của các quỹ (Điều 6, Điều 7 về xây dựng chiến lược, phương án đầu tư) (ii) đa dạng hoá danh mục đầu tư, cơ cấu đầu tư theo nguyên tắc an toàn, bên vững, hiệu quả; ưu tiên đầu tư TPCP (Điều 3, Điề</w:t>
      </w:r>
      <w:r w:rsidR="009F00CB">
        <w:rPr>
          <w:rFonts w:ascii="Times New Roman" w:hAnsi="Times New Roman" w:cs="Times New Roman"/>
          <w:sz w:val="28"/>
          <w:szCs w:val="28"/>
        </w:rPr>
        <w:t>u 4</w:t>
      </w:r>
      <w:r w:rsidR="009342F9">
        <w:rPr>
          <w:rFonts w:ascii="Times New Roman" w:hAnsi="Times New Roman" w:cs="Times New Roman"/>
          <w:sz w:val="28"/>
          <w:szCs w:val="28"/>
        </w:rPr>
        <w:t xml:space="preserve">  về nguyên tắc đầu tư, danh mục đầu tư</w:t>
      </w:r>
      <w:r w:rsidR="009F00CB">
        <w:rPr>
          <w:rFonts w:ascii="Times New Roman" w:hAnsi="Times New Roman" w:cs="Times New Roman"/>
          <w:sz w:val="28"/>
          <w:szCs w:val="28"/>
        </w:rPr>
        <w:t>) (iii) mở rộng lĩnh vực có khả năng sinh lời cao, từng bước và có lộ trình đầu tư thông qua uỷ thác (Điều 5</w:t>
      </w:r>
      <w:r w:rsidR="009342F9">
        <w:rPr>
          <w:rFonts w:ascii="Times New Roman" w:hAnsi="Times New Roman" w:cs="Times New Roman"/>
          <w:sz w:val="28"/>
          <w:szCs w:val="28"/>
        </w:rPr>
        <w:t xml:space="preserve"> về phương thức đầu tư</w:t>
      </w:r>
      <w:r w:rsidR="009F00CB">
        <w:rPr>
          <w:rFonts w:ascii="Times New Roman" w:hAnsi="Times New Roman" w:cs="Times New Roman"/>
          <w:sz w:val="28"/>
          <w:szCs w:val="28"/>
        </w:rPr>
        <w:t>) (iv) có quy định cụ thể và cơ chế quản lý chặt chẽ (Điều 15, Điều 16, Điều 17, Điều 18</w:t>
      </w:r>
      <w:r w:rsidR="009342F9">
        <w:rPr>
          <w:rFonts w:ascii="Times New Roman" w:hAnsi="Times New Roman" w:cs="Times New Roman"/>
          <w:sz w:val="28"/>
          <w:szCs w:val="28"/>
        </w:rPr>
        <w:t xml:space="preserve"> về kiểm soát, quản lý rủi ro đầu tư</w:t>
      </w:r>
      <w:r w:rsidR="009F00CB">
        <w:rPr>
          <w:rFonts w:ascii="Times New Roman" w:hAnsi="Times New Roman" w:cs="Times New Roman"/>
          <w:sz w:val="28"/>
          <w:szCs w:val="28"/>
        </w:rPr>
        <w:t>).</w:t>
      </w:r>
    </w:p>
    <w:p w:rsidR="002147CE" w:rsidRPr="009F00CB" w:rsidRDefault="002147CE" w:rsidP="009F00CB">
      <w:pPr>
        <w:pStyle w:val="ListParagraph"/>
        <w:spacing w:before="120" w:after="0" w:line="240" w:lineRule="auto"/>
        <w:ind w:left="0" w:firstLine="709"/>
        <w:contextualSpacing w:val="0"/>
        <w:jc w:val="both"/>
        <w:rPr>
          <w:rFonts w:ascii="Times New Roman" w:hAnsi="Times New Roman" w:cs="Times New Roman"/>
          <w:b/>
          <w:sz w:val="28"/>
          <w:szCs w:val="28"/>
        </w:rPr>
      </w:pPr>
      <w:r w:rsidRPr="009F00CB">
        <w:rPr>
          <w:rFonts w:ascii="Times New Roman" w:hAnsi="Times New Roman" w:cs="Times New Roman"/>
          <w:b/>
          <w:sz w:val="28"/>
          <w:szCs w:val="28"/>
        </w:rPr>
        <w:t>2. Những vấn đề thực tiễn pháp luật chưa quy định</w:t>
      </w:r>
      <w:r w:rsidR="009342F9">
        <w:rPr>
          <w:rFonts w:ascii="Times New Roman" w:hAnsi="Times New Roman" w:cs="Times New Roman"/>
          <w:b/>
          <w:sz w:val="28"/>
          <w:szCs w:val="28"/>
        </w:rPr>
        <w:t>, cần bổ sung tại dự thảo Nghị định</w:t>
      </w:r>
      <w:r w:rsidRPr="009F00CB">
        <w:rPr>
          <w:rFonts w:ascii="Times New Roman" w:hAnsi="Times New Roman" w:cs="Times New Roman"/>
          <w:b/>
          <w:sz w:val="28"/>
          <w:szCs w:val="28"/>
        </w:rPr>
        <w:t xml:space="preserve"> </w:t>
      </w:r>
    </w:p>
    <w:p w:rsidR="009F00CB" w:rsidRDefault="009F00CB" w:rsidP="009F00CB">
      <w:pPr>
        <w:shd w:val="clear" w:color="auto" w:fill="FFFFFF"/>
        <w:tabs>
          <w:tab w:val="left" w:pos="567"/>
        </w:tabs>
        <w:spacing w:before="120"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Bổ sung Điều 5 để </w:t>
      </w:r>
      <w:r w:rsidRPr="000A759A">
        <w:rPr>
          <w:rFonts w:ascii="Times New Roman" w:hAnsi="Times New Roman" w:cs="Times New Roman"/>
          <w:iCs/>
          <w:sz w:val="28"/>
          <w:szCs w:val="28"/>
        </w:rPr>
        <w:t>quy định BHXH thực hiện tư đầu tư hoặc ủy thác đầu tư. Trường hợp đầu tư theo phương thức ủy thác, phải xây dựng phương án bao gồm các nội dung sau: tiêu chí, quy trình lựa chọn tổ chức nhận ủy thác; các nội dung ủy thác; cơ chế giám sát hoạt động ủy thác; xử lý trong trường hợp tổ chức nhận ủy thác đầu tư không thực hiện được cam kết.</w:t>
      </w:r>
    </w:p>
    <w:p w:rsidR="009F00CB" w:rsidRDefault="009F00CB" w:rsidP="009F00CB">
      <w:pPr>
        <w:shd w:val="clear" w:color="auto" w:fill="FFFFFF"/>
        <w:tabs>
          <w:tab w:val="left" w:pos="567"/>
        </w:tabs>
        <w:spacing w:before="120"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Bổ sung Điều 6 quy định về việc xây dựng </w:t>
      </w:r>
      <w:r w:rsidRPr="009F00CB">
        <w:rPr>
          <w:rFonts w:ascii="Times New Roman" w:hAnsi="Times New Roman" w:cs="Times New Roman"/>
          <w:iCs/>
          <w:sz w:val="28"/>
          <w:szCs w:val="28"/>
        </w:rPr>
        <w:t xml:space="preserve">chiến lược đầu tư dài hạn để xác định mục tiêu đầu tư của Bảo hiểm xã hội Việt Nam trong giai đoạn 03 năm, các nội dung của chiến lược đầu tư dài hạn, quy trình xây dựng (cùng thời điểm xây dựng mức chi tổ chức và hoạt động bảo hiểm xã hội) và thẩm quyền quyết định là Thủ tướng Chính phủ. Khi xây dựng mức chi tổ chức và hoạt động, </w:t>
      </w:r>
      <w:r w:rsidRPr="009F00CB">
        <w:rPr>
          <w:rFonts w:ascii="Times New Roman" w:hAnsi="Times New Roman" w:cs="Times New Roman"/>
          <w:iCs/>
          <w:sz w:val="28"/>
          <w:szCs w:val="28"/>
        </w:rPr>
        <w:lastRenderedPageBreak/>
        <w:t xml:space="preserve">BHXH phải dự kiến về số tiền thu, chi nghiệp vụ của các quỹ, tính toán về dòng tiền của BHXH, theo đó có thể xây dựng phương án đầu tư phù hợp với dòng tiền của BHXH trong vòng 3 năm; </w:t>
      </w:r>
      <w:r w:rsidR="006B5103">
        <w:rPr>
          <w:rFonts w:ascii="Times New Roman" w:hAnsi="Times New Roman" w:cs="Times New Roman"/>
          <w:iCs/>
          <w:sz w:val="28"/>
          <w:szCs w:val="28"/>
        </w:rPr>
        <w:t>đồng thời</w:t>
      </w:r>
      <w:r w:rsidRPr="009F00CB">
        <w:rPr>
          <w:rFonts w:ascii="Times New Roman" w:hAnsi="Times New Roman" w:cs="Times New Roman"/>
          <w:iCs/>
          <w:sz w:val="28"/>
          <w:szCs w:val="28"/>
        </w:rPr>
        <w:t xml:space="preserve">, việc dự báo số tiền sinh lời từ hoạt động đầu tư là cơ sở để báo cáo cấp có thẩm quyền về nguồn bố trí chi phí hoạt động của quỹ bảo hiểm xã hội. </w:t>
      </w:r>
    </w:p>
    <w:p w:rsidR="009F00CB" w:rsidRDefault="009F00CB" w:rsidP="009F00CB">
      <w:pPr>
        <w:shd w:val="clear" w:color="auto" w:fill="FFFFFF"/>
        <w:tabs>
          <w:tab w:val="left" w:pos="567"/>
        </w:tabs>
        <w:spacing w:before="120"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Bổ sung Điều 12 về đầu tư </w:t>
      </w:r>
      <w:r w:rsidRPr="00BC6418">
        <w:rPr>
          <w:rFonts w:ascii="Times New Roman" w:hAnsi="Times New Roman" w:cs="Times New Roman"/>
          <w:iCs/>
          <w:sz w:val="28"/>
          <w:szCs w:val="28"/>
        </w:rPr>
        <w:t>mua TPCP tại thị trường quốc tế</w:t>
      </w:r>
      <w:r>
        <w:rPr>
          <w:rFonts w:ascii="Times New Roman" w:hAnsi="Times New Roman" w:cs="Times New Roman"/>
          <w:iCs/>
          <w:sz w:val="28"/>
          <w:szCs w:val="28"/>
        </w:rPr>
        <w:t xml:space="preserve"> để phù hợp với </w:t>
      </w:r>
      <w:r w:rsidRPr="00BC6418">
        <w:rPr>
          <w:rFonts w:ascii="Times New Roman" w:hAnsi="Times New Roman" w:cs="Times New Roman"/>
          <w:iCs/>
          <w:sz w:val="28"/>
          <w:szCs w:val="28"/>
        </w:rPr>
        <w:t>Luật BHXH năm 20</w:t>
      </w:r>
      <w:r>
        <w:rPr>
          <w:rFonts w:ascii="Times New Roman" w:hAnsi="Times New Roman" w:cs="Times New Roman"/>
          <w:iCs/>
          <w:sz w:val="28"/>
          <w:szCs w:val="28"/>
        </w:rPr>
        <w:t>2</w:t>
      </w:r>
      <w:r w:rsidRPr="00BC6418">
        <w:rPr>
          <w:rFonts w:ascii="Times New Roman" w:hAnsi="Times New Roman" w:cs="Times New Roman"/>
          <w:iCs/>
          <w:sz w:val="28"/>
          <w:szCs w:val="28"/>
        </w:rPr>
        <w:t xml:space="preserve">4 </w:t>
      </w:r>
      <w:r>
        <w:rPr>
          <w:rFonts w:ascii="Times New Roman" w:hAnsi="Times New Roman" w:cs="Times New Roman"/>
          <w:iCs/>
          <w:sz w:val="28"/>
          <w:szCs w:val="28"/>
        </w:rPr>
        <w:t xml:space="preserve">(khoản 2 Điều 122). </w:t>
      </w:r>
      <w:r w:rsidRPr="00BC6418">
        <w:rPr>
          <w:rFonts w:ascii="Times New Roman" w:hAnsi="Times New Roman" w:cs="Times New Roman"/>
          <w:iCs/>
          <w:sz w:val="28"/>
          <w:szCs w:val="28"/>
        </w:rPr>
        <w:t>Theo đó, BHXH xây dựng Đề án đầu tư ra thị trường quốc tế (bao gồm các nội dung cơ bản về thị trường đầu tư, sản phẩm đầu tư, phương thức đầu tư, đánh giá chi phí, lợi ích, các rủi ro có thể xảy ra ...) để báo cáo HĐQL thông qua trước khi báo cáo Bộ Tài chính để xin ý kiến Ngân hàng Nhà nước Việt Nam, các cơ quan liên quan và trình Thủ tướng Chính phủ phê duyệt.</w:t>
      </w:r>
    </w:p>
    <w:p w:rsidR="009F00CB" w:rsidRDefault="009F00CB" w:rsidP="009F00CB">
      <w:pPr>
        <w:shd w:val="clear" w:color="auto" w:fill="FFFFFF"/>
        <w:tabs>
          <w:tab w:val="left" w:pos="567"/>
        </w:tabs>
        <w:spacing w:before="120"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 Bổ sung Điều 15, Điều 16, Điều 17 về </w:t>
      </w:r>
      <w:r w:rsidRPr="00195292">
        <w:rPr>
          <w:rFonts w:ascii="Times New Roman" w:hAnsi="Times New Roman" w:cs="Times New Roman"/>
          <w:iCs/>
          <w:sz w:val="28"/>
          <w:szCs w:val="28"/>
        </w:rPr>
        <w:t>kiểm soát, quản lý rủi ro đầu tư, trích lập và sử dụng dự phòng rủ</w:t>
      </w:r>
      <w:r>
        <w:rPr>
          <w:rFonts w:ascii="Times New Roman" w:hAnsi="Times New Roman" w:cs="Times New Roman"/>
          <w:iCs/>
          <w:sz w:val="28"/>
          <w:szCs w:val="28"/>
        </w:rPr>
        <w:t xml:space="preserve">i ro theo nội dung được giao hướng dẫn tại khoản 3 Điều 123 Luật BHXH 2024. Theo đó, quy định nội dung kiểm soát rủi ro </w:t>
      </w:r>
      <w:r w:rsidRPr="00195292">
        <w:rPr>
          <w:rFonts w:ascii="Times New Roman" w:hAnsi="Times New Roman" w:cs="Times New Roman"/>
          <w:iCs/>
          <w:sz w:val="28"/>
          <w:szCs w:val="28"/>
        </w:rPr>
        <w:t>gồm: ban hành các quy trình, quy chế nghiệp vụ</w:t>
      </w:r>
      <w:r>
        <w:rPr>
          <w:rFonts w:ascii="Times New Roman" w:hAnsi="Times New Roman" w:cs="Times New Roman"/>
          <w:iCs/>
          <w:sz w:val="28"/>
          <w:szCs w:val="28"/>
        </w:rPr>
        <w:t xml:space="preserve"> (</w:t>
      </w:r>
      <w:r w:rsidRPr="00195292">
        <w:rPr>
          <w:rFonts w:ascii="Times New Roman" w:hAnsi="Times New Roman" w:cs="Times New Roman"/>
          <w:iCs/>
          <w:sz w:val="28"/>
          <w:szCs w:val="28"/>
        </w:rPr>
        <w:t>Quy chế về đầu tư, Quy chế quản lý rủi ro, Quy chế kiểm toán nội bộ</w:t>
      </w:r>
      <w:r>
        <w:rPr>
          <w:rFonts w:ascii="Times New Roman" w:hAnsi="Times New Roman" w:cs="Times New Roman"/>
          <w:iCs/>
          <w:sz w:val="28"/>
          <w:szCs w:val="28"/>
        </w:rPr>
        <w:t>);</w:t>
      </w:r>
      <w:r w:rsidRPr="00195292">
        <w:rPr>
          <w:rFonts w:ascii="Times New Roman" w:hAnsi="Times New Roman" w:cs="Times New Roman"/>
          <w:iCs/>
          <w:sz w:val="28"/>
          <w:szCs w:val="28"/>
        </w:rPr>
        <w:t xml:space="preserve"> xây dựng và thực hiện đúng chiến lược đầu tư dài hạn, phương án đầu tư hằng năm; thường xuyên cập nhật thông tin về tình hình thị trường, đánh giá tình hình các khoản đầu tư; tổ chức kiểm toán nội bộ để thực hiện rà soát, đánh giá độc lập việc tuân thủ quy định của bộ phận đầu tư</w:t>
      </w:r>
      <w:r>
        <w:rPr>
          <w:rFonts w:ascii="Times New Roman" w:hAnsi="Times New Roman" w:cs="Times New Roman"/>
          <w:iCs/>
          <w:sz w:val="28"/>
          <w:szCs w:val="28"/>
        </w:rPr>
        <w:t xml:space="preserve">. Riêng về </w:t>
      </w:r>
      <w:r w:rsidRPr="00195292">
        <w:rPr>
          <w:rFonts w:ascii="Times New Roman" w:hAnsi="Times New Roman" w:cs="Times New Roman"/>
          <w:iCs/>
          <w:sz w:val="28"/>
          <w:szCs w:val="28"/>
        </w:rPr>
        <w:t xml:space="preserve">phạm vi, biện pháp, thẩm quyền xử lý rủi ro; việc trích lập và sử dụng dự phòng rủi ro: dự thảo Nghị định kế thừa quy định tại Nghị định 30/2016/NĐ-CP.  </w:t>
      </w:r>
      <w:r>
        <w:rPr>
          <w:rFonts w:ascii="Times New Roman" w:hAnsi="Times New Roman" w:cs="Times New Roman"/>
          <w:iCs/>
          <w:sz w:val="28"/>
          <w:szCs w:val="28"/>
        </w:rPr>
        <w:t xml:space="preserve"> </w:t>
      </w:r>
    </w:p>
    <w:p w:rsidR="002147CE" w:rsidRDefault="009F00CB" w:rsidP="009F00CB">
      <w:pPr>
        <w:pStyle w:val="ListParagraph"/>
        <w:spacing w:before="120" w:after="0" w:line="240" w:lineRule="auto"/>
        <w:ind w:left="0" w:firstLine="709"/>
        <w:contextualSpacing w:val="0"/>
        <w:rPr>
          <w:rFonts w:ascii="Times New Roman" w:hAnsi="Times New Roman" w:cs="Times New Roman"/>
          <w:sz w:val="28"/>
          <w:szCs w:val="28"/>
        </w:rPr>
      </w:pPr>
      <w:r>
        <w:rPr>
          <w:rFonts w:ascii="Times New Roman" w:hAnsi="Times New Roman" w:cs="Times New Roman"/>
          <w:iCs/>
          <w:sz w:val="28"/>
          <w:szCs w:val="28"/>
        </w:rPr>
        <w:t xml:space="preserve">- Bổ sung Điều 19 về chế độ báo cáo </w:t>
      </w:r>
      <w:r w:rsidRPr="00614AD4">
        <w:rPr>
          <w:rFonts w:ascii="Times New Roman" w:hAnsi="Times New Roman" w:cs="Times New Roman"/>
          <w:iCs/>
          <w:sz w:val="28"/>
          <w:szCs w:val="28"/>
        </w:rPr>
        <w:t>định kỳ và báo cáo theo yêu cầu cho Hội đồng quản lý và các Bộ, ngành liên quan (Bộ Tài chính, Bộ Nội vụ, Bộ Y tế, Bộ Công an, Bộ Quốc phòng) để các cơ quan theo dõi hoạt động đầu tư của Bảo hiểm xã hội Việt Nam, đảm bảo công khai, minh bạch trong tổ chức thực hiện đầu tư.</w:t>
      </w:r>
    </w:p>
    <w:p w:rsidR="002147CE" w:rsidRPr="006B5103" w:rsidRDefault="002147CE" w:rsidP="006B5103">
      <w:pPr>
        <w:pStyle w:val="ListParagraph"/>
        <w:spacing w:before="120" w:after="0" w:line="240" w:lineRule="auto"/>
        <w:ind w:left="0" w:firstLine="709"/>
        <w:contextualSpacing w:val="0"/>
        <w:jc w:val="both"/>
        <w:rPr>
          <w:rFonts w:ascii="Times New Roman" w:hAnsi="Times New Roman" w:cs="Times New Roman"/>
          <w:b/>
          <w:sz w:val="28"/>
          <w:szCs w:val="28"/>
        </w:rPr>
      </w:pPr>
      <w:r w:rsidRPr="006B5103">
        <w:rPr>
          <w:rFonts w:ascii="Times New Roman" w:hAnsi="Times New Roman" w:cs="Times New Roman"/>
          <w:b/>
          <w:sz w:val="28"/>
          <w:szCs w:val="28"/>
        </w:rPr>
        <w:t>3. Những vấn đề gì pháp luật đã quy định nhưng chưa phù hợp</w:t>
      </w:r>
      <w:r w:rsidR="006B5103" w:rsidRPr="006B5103">
        <w:rPr>
          <w:rFonts w:ascii="Times New Roman" w:hAnsi="Times New Roman" w:cs="Times New Roman"/>
          <w:b/>
          <w:sz w:val="28"/>
          <w:szCs w:val="28"/>
        </w:rPr>
        <w:t>, cần sửa đổi, bổ sung</w:t>
      </w:r>
      <w:r w:rsidRPr="006B5103">
        <w:rPr>
          <w:rFonts w:ascii="Times New Roman" w:hAnsi="Times New Roman" w:cs="Times New Roman"/>
          <w:b/>
          <w:sz w:val="28"/>
          <w:szCs w:val="28"/>
        </w:rPr>
        <w:t xml:space="preserve"> </w:t>
      </w:r>
    </w:p>
    <w:p w:rsidR="006B5103" w:rsidRDefault="006B5103" w:rsidP="006B5103">
      <w:pPr>
        <w:spacing w:before="120" w:after="0" w:line="240" w:lineRule="auto"/>
        <w:ind w:firstLine="720"/>
        <w:jc w:val="both"/>
        <w:rPr>
          <w:rFonts w:ascii="Times New Roman" w:hAnsi="Times New Roman" w:cs="Times New Roman"/>
          <w:iCs/>
          <w:sz w:val="28"/>
          <w:szCs w:val="28"/>
          <w:shd w:val="clear" w:color="auto" w:fill="FFFFFF"/>
          <w:lang w:val="pt-BR"/>
        </w:rPr>
      </w:pPr>
      <w:r w:rsidRPr="003E363E">
        <w:rPr>
          <w:rFonts w:ascii="Times New Roman" w:hAnsi="Times New Roman" w:cs="Times New Roman"/>
          <w:iCs/>
          <w:sz w:val="28"/>
          <w:szCs w:val="28"/>
          <w:shd w:val="clear" w:color="auto" w:fill="FFFFFF"/>
          <w:lang w:val="pt-BR"/>
        </w:rPr>
        <w:t xml:space="preserve">- Sửa </w:t>
      </w:r>
      <w:r>
        <w:rPr>
          <w:rFonts w:ascii="Times New Roman" w:hAnsi="Times New Roman" w:cs="Times New Roman"/>
          <w:iCs/>
          <w:sz w:val="28"/>
          <w:szCs w:val="28"/>
          <w:shd w:val="clear" w:color="auto" w:fill="FFFFFF"/>
          <w:lang w:val="pt-BR"/>
        </w:rPr>
        <w:t xml:space="preserve">đổi tại Điều 3 dự thảo Nghị định về nguyên tắc đầu tư để phù hợp với nguyên tắc đầu tư của từng quỹ thành phần (quỹ bảo hiểm xã hội, quỹ bảo hiểm y tế, quỹ bảo hiểm thất nghiệp), trong đó </w:t>
      </w:r>
      <w:r w:rsidRPr="007F3F2A">
        <w:rPr>
          <w:rFonts w:ascii="Times New Roman" w:hAnsi="Times New Roman" w:cs="Times New Roman"/>
          <w:iCs/>
          <w:sz w:val="28"/>
          <w:szCs w:val="28"/>
          <w:shd w:val="clear" w:color="auto" w:fill="FFFFFF"/>
          <w:lang w:val="pt-BR"/>
        </w:rPr>
        <w:t xml:space="preserve">nguyên tắc ưu tiên đầu tư </w:t>
      </w:r>
      <w:r>
        <w:rPr>
          <w:rFonts w:ascii="Times New Roman" w:hAnsi="Times New Roman" w:cs="Times New Roman"/>
          <w:iCs/>
          <w:sz w:val="28"/>
          <w:szCs w:val="28"/>
          <w:shd w:val="clear" w:color="auto" w:fill="FFFFFF"/>
          <w:lang w:val="pt-BR"/>
        </w:rPr>
        <w:t>trái phiếu Chính phủ</w:t>
      </w:r>
      <w:r w:rsidRPr="007F3F2A">
        <w:rPr>
          <w:rFonts w:ascii="Times New Roman" w:hAnsi="Times New Roman" w:cs="Times New Roman"/>
          <w:iCs/>
          <w:sz w:val="28"/>
          <w:szCs w:val="28"/>
          <w:shd w:val="clear" w:color="auto" w:fill="FFFFFF"/>
          <w:lang w:val="pt-BR"/>
        </w:rPr>
        <w:t xml:space="preserve"> được xác định bằng số dư trái phiếu Chính phủ so với số dư tổng danh mục đầu tư tại thời điểm ngày 31 tháng 12 hằng năm</w:t>
      </w:r>
      <w:r>
        <w:rPr>
          <w:rFonts w:ascii="Times New Roman" w:hAnsi="Times New Roman" w:cs="Times New Roman"/>
          <w:iCs/>
          <w:sz w:val="28"/>
          <w:szCs w:val="28"/>
          <w:shd w:val="clear" w:color="auto" w:fill="FFFFFF"/>
          <w:lang w:val="pt-BR"/>
        </w:rPr>
        <w:t>.</w:t>
      </w:r>
    </w:p>
    <w:p w:rsidR="006B5103" w:rsidRDefault="006B5103" w:rsidP="006B5103">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Sửa đổi, bổ sung Điều 7 dự thảo Nghị định về xây dựng phương án đầu tư hàng năm để tổ chức thực hiện, đảm bảo </w:t>
      </w:r>
      <w:r w:rsidRPr="000A759A">
        <w:rPr>
          <w:rFonts w:ascii="Times New Roman" w:hAnsi="Times New Roman" w:cs="Times New Roman"/>
          <w:sz w:val="28"/>
          <w:szCs w:val="28"/>
        </w:rPr>
        <w:t>phù hợp với năng lực đầu tư của BHXH</w:t>
      </w:r>
      <w:r>
        <w:rPr>
          <w:rFonts w:ascii="Times New Roman" w:hAnsi="Times New Roman" w:cs="Times New Roman"/>
          <w:sz w:val="28"/>
          <w:szCs w:val="28"/>
        </w:rPr>
        <w:t xml:space="preserve">. Trong đó xác định cụ thể thời điểm Hội đồng quản lý Bảo hiểm xã hội thông qua phương án đầu tư là trước ngày 31 tháng 12 hằng năm.  </w:t>
      </w:r>
    </w:p>
    <w:p w:rsidR="006B5103" w:rsidRDefault="006B5103" w:rsidP="006B5103">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Sửa đổi, bổ sung Điều 9, Điều 10 về danh mục đầu tư của BHXH, trong đó </w:t>
      </w:r>
      <w:r w:rsidRPr="00BC6418">
        <w:rPr>
          <w:rFonts w:ascii="Times New Roman" w:hAnsi="Times New Roman" w:cs="Times New Roman"/>
          <w:sz w:val="28"/>
          <w:szCs w:val="28"/>
        </w:rPr>
        <w:t xml:space="preserve">bổ sung quy định rõ hơn về việc đầu tư </w:t>
      </w:r>
      <w:r>
        <w:rPr>
          <w:rFonts w:ascii="Times New Roman" w:hAnsi="Times New Roman" w:cs="Times New Roman"/>
          <w:sz w:val="28"/>
          <w:szCs w:val="28"/>
        </w:rPr>
        <w:t>trái phiếu Chính phủ (</w:t>
      </w:r>
      <w:r w:rsidRPr="00BC6418">
        <w:rPr>
          <w:rFonts w:ascii="Times New Roman" w:hAnsi="Times New Roman" w:cs="Times New Roman"/>
          <w:sz w:val="28"/>
          <w:szCs w:val="28"/>
        </w:rPr>
        <w:t>TPCP</w:t>
      </w:r>
      <w:r>
        <w:rPr>
          <w:rFonts w:ascii="Times New Roman" w:hAnsi="Times New Roman" w:cs="Times New Roman"/>
          <w:sz w:val="28"/>
          <w:szCs w:val="28"/>
        </w:rPr>
        <w:t>)</w:t>
      </w:r>
      <w:r w:rsidRPr="00BC6418">
        <w:rPr>
          <w:rFonts w:ascii="Times New Roman" w:hAnsi="Times New Roman" w:cs="Times New Roman"/>
          <w:sz w:val="28"/>
          <w:szCs w:val="28"/>
        </w:rPr>
        <w:t>, trái phiếu chính quyền địa phương (TPCQĐP)</w:t>
      </w:r>
      <w:r>
        <w:rPr>
          <w:rFonts w:ascii="Times New Roman" w:hAnsi="Times New Roman" w:cs="Times New Roman"/>
          <w:sz w:val="28"/>
          <w:szCs w:val="28"/>
        </w:rPr>
        <w:t xml:space="preserve">, TPCPBL </w:t>
      </w:r>
      <w:r w:rsidRPr="00BC6418">
        <w:rPr>
          <w:rFonts w:ascii="Times New Roman" w:hAnsi="Times New Roman" w:cs="Times New Roman"/>
          <w:sz w:val="28"/>
          <w:szCs w:val="28"/>
        </w:rPr>
        <w:t xml:space="preserve">trên thị trường thứ cấp theo </w:t>
      </w:r>
      <w:r w:rsidRPr="00BC6418">
        <w:rPr>
          <w:rFonts w:ascii="Times New Roman" w:hAnsi="Times New Roman" w:cs="Times New Roman"/>
          <w:sz w:val="28"/>
          <w:szCs w:val="28"/>
        </w:rPr>
        <w:lastRenderedPageBreak/>
        <w:t>nguyên tắc cạnh tranh lãi suất, giao BHXH xây dưng quy chế mua các loại trái phiếu trên thị trường thứ cấp để tổ chức thực hiện</w:t>
      </w:r>
      <w:r>
        <w:rPr>
          <w:rFonts w:ascii="Times New Roman" w:hAnsi="Times New Roman" w:cs="Times New Roman"/>
          <w:sz w:val="28"/>
          <w:szCs w:val="28"/>
        </w:rPr>
        <w:t>.</w:t>
      </w:r>
    </w:p>
    <w:p w:rsidR="006B5103" w:rsidRDefault="006B5103" w:rsidP="006B5103">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Sửa đổi, bổ sung Điều 13, Điều 14 về sử dụng tiền sinh lời từ hoạt động đầu tư và việc theo dõi và hạch toán khoản đầu tư </w:t>
      </w:r>
      <w:r w:rsidRPr="00195292">
        <w:rPr>
          <w:rFonts w:ascii="Times New Roman" w:hAnsi="Times New Roman" w:cs="Times New Roman"/>
          <w:sz w:val="28"/>
          <w:szCs w:val="28"/>
        </w:rPr>
        <w:t xml:space="preserve">BHXH </w:t>
      </w:r>
      <w:r>
        <w:rPr>
          <w:rFonts w:ascii="Times New Roman" w:hAnsi="Times New Roman" w:cs="Times New Roman"/>
          <w:sz w:val="28"/>
          <w:szCs w:val="28"/>
        </w:rPr>
        <w:t>theo từng quỹ thành phần.</w:t>
      </w:r>
    </w:p>
    <w:p w:rsidR="002147CE" w:rsidRPr="006B5103" w:rsidRDefault="002147CE" w:rsidP="002147CE">
      <w:pPr>
        <w:pStyle w:val="ListParagraph"/>
        <w:spacing w:before="120" w:after="0" w:line="240" w:lineRule="auto"/>
        <w:ind w:left="0" w:firstLine="709"/>
        <w:contextualSpacing w:val="0"/>
        <w:rPr>
          <w:rFonts w:ascii="Times New Roman" w:hAnsi="Times New Roman" w:cs="Times New Roman"/>
          <w:b/>
          <w:sz w:val="28"/>
          <w:szCs w:val="28"/>
        </w:rPr>
      </w:pPr>
      <w:r w:rsidRPr="006B5103">
        <w:rPr>
          <w:rFonts w:ascii="Times New Roman" w:hAnsi="Times New Roman" w:cs="Times New Roman"/>
          <w:b/>
          <w:sz w:val="28"/>
          <w:szCs w:val="28"/>
        </w:rPr>
        <w:t xml:space="preserve">4. Những nội dung vướng mắc cần tháo gỡ </w:t>
      </w:r>
    </w:p>
    <w:p w:rsidR="00213615" w:rsidRDefault="003E363E" w:rsidP="003E363E">
      <w:pPr>
        <w:spacing w:before="120" w:after="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Bỏ quy định giới hạn </w:t>
      </w:r>
      <w:r w:rsidR="00213615" w:rsidRPr="003E363E">
        <w:rPr>
          <w:rFonts w:ascii="Times New Roman" w:hAnsi="Times New Roman" w:cs="Times New Roman"/>
          <w:sz w:val="28"/>
          <w:szCs w:val="28"/>
          <w:lang w:val="nl-NL"/>
        </w:rPr>
        <w:t>kỳ hạn mua</w:t>
      </w:r>
      <w:r w:rsidRPr="003E363E">
        <w:rPr>
          <w:rFonts w:ascii="Times New Roman" w:hAnsi="Times New Roman" w:cs="Times New Roman"/>
          <w:sz w:val="28"/>
          <w:szCs w:val="28"/>
          <w:lang w:val="nl-NL"/>
        </w:rPr>
        <w:t xml:space="preserve"> trái phiếu, chứng chỉ tiền gửi của ngân hàng thương mại (NHTM)</w:t>
      </w:r>
      <w:r w:rsidR="00213615" w:rsidRPr="003E363E">
        <w:rPr>
          <w:rFonts w:ascii="Times New Roman" w:hAnsi="Times New Roman" w:cs="Times New Roman"/>
          <w:sz w:val="28"/>
          <w:szCs w:val="28"/>
          <w:lang w:val="nl-NL"/>
        </w:rPr>
        <w:t xml:space="preserve"> </w:t>
      </w:r>
      <w:r w:rsidRPr="003E363E">
        <w:rPr>
          <w:rFonts w:ascii="Times New Roman" w:hAnsi="Times New Roman" w:cs="Times New Roman"/>
          <w:sz w:val="28"/>
          <w:szCs w:val="28"/>
          <w:lang w:val="nl-NL"/>
        </w:rPr>
        <w:t>không quá</w:t>
      </w:r>
      <w:r w:rsidR="00213615" w:rsidRPr="003E363E">
        <w:rPr>
          <w:rFonts w:ascii="Times New Roman" w:hAnsi="Times New Roman" w:cs="Times New Roman"/>
          <w:sz w:val="28"/>
          <w:szCs w:val="28"/>
          <w:lang w:val="nl-NL"/>
        </w:rPr>
        <w:t xml:space="preserve"> 5 năm</w:t>
      </w:r>
      <w:r w:rsidR="00BC6418">
        <w:rPr>
          <w:rFonts w:ascii="Times New Roman" w:hAnsi="Times New Roman" w:cs="Times New Roman"/>
          <w:sz w:val="28"/>
          <w:szCs w:val="28"/>
          <w:lang w:val="nl-NL"/>
        </w:rPr>
        <w:t>, mua trái phiếu Chính phủ bảo lãnh (TPCPBL)</w:t>
      </w:r>
      <w:r w:rsidR="00213615" w:rsidRPr="003E363E">
        <w:rPr>
          <w:rFonts w:ascii="Times New Roman" w:hAnsi="Times New Roman" w:cs="Times New Roman"/>
          <w:sz w:val="28"/>
          <w:szCs w:val="28"/>
          <w:lang w:val="nl-NL"/>
        </w:rPr>
        <w:t xml:space="preserve"> </w:t>
      </w:r>
      <w:r w:rsidRPr="003E363E">
        <w:rPr>
          <w:rFonts w:ascii="Times New Roman" w:hAnsi="Times New Roman" w:cs="Times New Roman"/>
          <w:sz w:val="28"/>
          <w:szCs w:val="28"/>
          <w:lang w:val="nl-NL"/>
        </w:rPr>
        <w:t>tại khoản 2 Điều 9</w:t>
      </w:r>
      <w:r w:rsidR="00BC6418">
        <w:rPr>
          <w:rFonts w:ascii="Times New Roman" w:hAnsi="Times New Roman" w:cs="Times New Roman"/>
          <w:sz w:val="28"/>
          <w:szCs w:val="28"/>
          <w:lang w:val="nl-NL"/>
        </w:rPr>
        <w:t>, khoản 2 Điều 10</w:t>
      </w:r>
      <w:r w:rsidRPr="003E363E">
        <w:rPr>
          <w:rFonts w:ascii="Times New Roman" w:hAnsi="Times New Roman" w:cs="Times New Roman"/>
          <w:sz w:val="28"/>
          <w:szCs w:val="28"/>
          <w:lang w:val="nl-NL"/>
        </w:rPr>
        <w:t xml:space="preserve"> </w:t>
      </w:r>
      <w:r>
        <w:rPr>
          <w:rFonts w:ascii="Times New Roman" w:hAnsi="Times New Roman" w:cs="Times New Roman"/>
          <w:sz w:val="28"/>
          <w:szCs w:val="28"/>
          <w:lang w:val="nl-NL"/>
        </w:rPr>
        <w:t>Nghị định số 30/2016/NĐ-CP</w:t>
      </w:r>
      <w:r w:rsidRPr="003E363E">
        <w:rPr>
          <w:rFonts w:ascii="Times New Roman" w:hAnsi="Times New Roman" w:cs="Times New Roman"/>
          <w:sz w:val="28"/>
          <w:szCs w:val="28"/>
          <w:lang w:val="nl-NL"/>
        </w:rPr>
        <w:t xml:space="preserve"> </w:t>
      </w:r>
      <w:r w:rsidR="00213615" w:rsidRPr="003E363E">
        <w:rPr>
          <w:rFonts w:ascii="Times New Roman" w:hAnsi="Times New Roman" w:cs="Times New Roman"/>
          <w:sz w:val="28"/>
          <w:szCs w:val="28"/>
          <w:lang w:val="nl-NL"/>
        </w:rPr>
        <w:t>để phù hợp với các sản phẩm trên thị trường, tăng hiệu quả đầu tư (hiện nay các NHTM Nhà nước và NHTM có vốn Nhà nước trên 50% có thể phát hành trái phiếu, chứng chỉ tiền gửi kỳ hạn 8 – 10 năm với lãi suất cao hơn lãi suất 5 năm</w:t>
      </w:r>
      <w:r w:rsidR="00BC6418">
        <w:rPr>
          <w:rFonts w:ascii="Times New Roman" w:hAnsi="Times New Roman" w:cs="Times New Roman"/>
          <w:sz w:val="28"/>
          <w:szCs w:val="28"/>
          <w:lang w:val="nl-NL"/>
        </w:rPr>
        <w:t>, các ngân hàng chính sách có thể phát hành kỳ hạn 10 năm, 15 năm</w:t>
      </w:r>
      <w:r w:rsidR="00213615" w:rsidRPr="003E363E">
        <w:rPr>
          <w:rFonts w:ascii="Times New Roman" w:hAnsi="Times New Roman" w:cs="Times New Roman"/>
          <w:sz w:val="28"/>
          <w:szCs w:val="28"/>
          <w:lang w:val="nl-NL"/>
        </w:rPr>
        <w:t>).</w:t>
      </w:r>
    </w:p>
    <w:p w:rsidR="006B5103" w:rsidRDefault="006B5103" w:rsidP="006B5103">
      <w:pPr>
        <w:spacing w:before="120" w:after="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Bỏ quy định </w:t>
      </w:r>
      <w:r w:rsidRPr="00213615">
        <w:rPr>
          <w:rFonts w:ascii="Times New Roman" w:hAnsi="Times New Roman" w:cs="Times New Roman"/>
          <w:sz w:val="28"/>
          <w:szCs w:val="28"/>
          <w:lang w:val="nl-NL"/>
        </w:rPr>
        <w:t>đầu tư vào dự án quan trọng</w:t>
      </w:r>
      <w:r>
        <w:rPr>
          <w:rFonts w:ascii="Times New Roman" w:hAnsi="Times New Roman" w:cs="Times New Roman"/>
          <w:sz w:val="28"/>
          <w:szCs w:val="28"/>
          <w:lang w:val="nl-NL"/>
        </w:rPr>
        <w:t xml:space="preserve"> tại điểm đ khoản 1 Điều 4, Điều 11, điểm b khoản 1 Điều 13 Nghị định số 30/2016/NĐ-CP do: Luật Bảo hiểm xã hội năm 2024, </w:t>
      </w:r>
      <w:r w:rsidRPr="00213615">
        <w:rPr>
          <w:rFonts w:ascii="Times New Roman" w:hAnsi="Times New Roman" w:cs="Times New Roman"/>
          <w:sz w:val="28"/>
          <w:szCs w:val="28"/>
          <w:lang w:val="nl-NL"/>
        </w:rPr>
        <w:t>Luật sửa đổi, bổ sung Luật Bảo hiểm y tế năm 2024</w:t>
      </w:r>
      <w:r>
        <w:rPr>
          <w:rFonts w:ascii="Times New Roman" w:hAnsi="Times New Roman" w:cs="Times New Roman"/>
          <w:sz w:val="28"/>
          <w:szCs w:val="28"/>
          <w:lang w:val="nl-NL"/>
        </w:rPr>
        <w:t xml:space="preserve"> không quy định việc đầu tư vào dự án quan trọng; t</w:t>
      </w:r>
      <w:r w:rsidRPr="00213615">
        <w:rPr>
          <w:rFonts w:ascii="Times New Roman" w:hAnsi="Times New Roman" w:cs="Times New Roman"/>
          <w:sz w:val="28"/>
          <w:szCs w:val="28"/>
          <w:lang w:val="nl-NL"/>
        </w:rPr>
        <w:t>ại dự thảo Luật Việc làm sửa đổi dự kiến áp dụng quy định về đầu tư thống nhất với Luật BHXH và giao Chính phủ hướng dẫn chi tiết (không còn đầu tư dự</w:t>
      </w:r>
      <w:r>
        <w:rPr>
          <w:rFonts w:ascii="Times New Roman" w:hAnsi="Times New Roman" w:cs="Times New Roman"/>
          <w:sz w:val="28"/>
          <w:szCs w:val="28"/>
          <w:lang w:val="nl-NL"/>
        </w:rPr>
        <w:t xml:space="preserve"> án)</w:t>
      </w:r>
      <w:r w:rsidRPr="00213615">
        <w:rPr>
          <w:rFonts w:ascii="Times New Roman" w:hAnsi="Times New Roman" w:cs="Times New Roman"/>
          <w:sz w:val="28"/>
          <w:szCs w:val="28"/>
          <w:lang w:val="nl-NL"/>
        </w:rPr>
        <w:t xml:space="preserve">. Thực tế hiện nay, BHXH không còn đầu tư vào dự án quan trọng. </w:t>
      </w:r>
    </w:p>
    <w:p w:rsidR="005C492B" w:rsidRDefault="006B5103" w:rsidP="005C492B">
      <w:pPr>
        <w:shd w:val="clear" w:color="auto" w:fill="FFFFFF"/>
        <w:tabs>
          <w:tab w:val="left" w:pos="567"/>
        </w:tabs>
        <w:spacing w:before="120" w:after="0" w:line="240" w:lineRule="auto"/>
        <w:ind w:firstLine="709"/>
        <w:jc w:val="both"/>
        <w:rPr>
          <w:rFonts w:ascii="Times New Roman" w:hAnsi="Times New Roman" w:cs="Times New Roman"/>
          <w:iCs/>
          <w:sz w:val="28"/>
          <w:szCs w:val="28"/>
        </w:rPr>
      </w:pPr>
      <w:r>
        <w:rPr>
          <w:rFonts w:ascii="Times New Roman" w:hAnsi="Times New Roman" w:cs="Times New Roman"/>
          <w:b/>
          <w:sz w:val="28"/>
          <w:szCs w:val="28"/>
          <w:lang w:val="nl-NL"/>
        </w:rPr>
        <w:t>5</w:t>
      </w:r>
      <w:r w:rsidR="007253F8" w:rsidRPr="00746A17">
        <w:rPr>
          <w:rFonts w:ascii="Times New Roman" w:hAnsi="Times New Roman" w:cs="Times New Roman"/>
          <w:b/>
          <w:sz w:val="28"/>
          <w:szCs w:val="28"/>
          <w:lang w:val="nl-NL"/>
        </w:rPr>
        <w:t>. Dự thảo Nghị định không có nội dung quy định thủ tục hành chính</w:t>
      </w:r>
      <w:r w:rsidR="00C64301">
        <w:rPr>
          <w:rFonts w:ascii="Times New Roman" w:hAnsi="Times New Roman" w:cs="Times New Roman"/>
          <w:b/>
          <w:sz w:val="28"/>
          <w:szCs w:val="28"/>
          <w:lang w:val="nl-NL"/>
        </w:rPr>
        <w:t xml:space="preserve"> nên không có nội dung cắt giảm thủ tục hành chính.</w:t>
      </w:r>
    </w:p>
    <w:p w:rsidR="007253F8" w:rsidRPr="005C492B" w:rsidRDefault="006B5103" w:rsidP="005C492B">
      <w:pPr>
        <w:shd w:val="clear" w:color="auto" w:fill="FFFFFF"/>
        <w:tabs>
          <w:tab w:val="left" w:pos="567"/>
        </w:tabs>
        <w:spacing w:before="120" w:after="0" w:line="240" w:lineRule="auto"/>
        <w:ind w:firstLine="709"/>
        <w:jc w:val="both"/>
        <w:rPr>
          <w:rFonts w:ascii="Times New Roman" w:hAnsi="Times New Roman" w:cs="Times New Roman"/>
          <w:iCs/>
          <w:sz w:val="28"/>
          <w:szCs w:val="28"/>
        </w:rPr>
      </w:pPr>
      <w:r>
        <w:rPr>
          <w:rFonts w:ascii="Times New Roman Bold" w:hAnsi="Times New Roman Bold" w:cs="Times New Roman"/>
          <w:b/>
          <w:spacing w:val="-8"/>
          <w:sz w:val="28"/>
          <w:szCs w:val="28"/>
          <w:lang w:val="nl-NL"/>
        </w:rPr>
        <w:t>6</w:t>
      </w:r>
      <w:r w:rsidR="00B26C8C" w:rsidRPr="005C492B">
        <w:rPr>
          <w:rFonts w:ascii="Times New Roman Bold" w:hAnsi="Times New Roman Bold" w:cs="Times New Roman"/>
          <w:b/>
          <w:spacing w:val="-8"/>
          <w:sz w:val="28"/>
          <w:szCs w:val="28"/>
          <w:lang w:val="nl-NL"/>
        </w:rPr>
        <w:t xml:space="preserve">. Về </w:t>
      </w:r>
      <w:r w:rsidR="007253F8" w:rsidRPr="005C492B">
        <w:rPr>
          <w:rFonts w:ascii="Times New Roman Bold" w:hAnsi="Times New Roman Bold" w:cs="Times New Roman"/>
          <w:b/>
          <w:spacing w:val="-8"/>
          <w:sz w:val="28"/>
          <w:szCs w:val="28"/>
          <w:lang w:val="nl-NL"/>
        </w:rPr>
        <w:t>nội dung quy định việc phân cấp, phân quyền</w:t>
      </w:r>
      <w:r w:rsidR="005705EA" w:rsidRPr="005C492B">
        <w:rPr>
          <w:rFonts w:ascii="Times New Roman Bold" w:hAnsi="Times New Roman Bold" w:cs="Times New Roman"/>
          <w:b/>
          <w:spacing w:val="-8"/>
          <w:sz w:val="28"/>
          <w:szCs w:val="28"/>
          <w:lang w:val="nl-NL"/>
        </w:rPr>
        <w:t xml:space="preserve"> tại dự thảo Nghị định</w:t>
      </w:r>
      <w:r w:rsidR="00B26C8C" w:rsidRPr="005C492B">
        <w:rPr>
          <w:rFonts w:ascii="Times New Roman Bold" w:hAnsi="Times New Roman Bold" w:cs="Times New Roman"/>
          <w:b/>
          <w:spacing w:val="-8"/>
          <w:sz w:val="28"/>
          <w:szCs w:val="28"/>
          <w:lang w:val="nl-NL"/>
        </w:rPr>
        <w:t xml:space="preserve"> </w:t>
      </w:r>
    </w:p>
    <w:p w:rsidR="00C64301" w:rsidRDefault="00614AD4" w:rsidP="00614AD4">
      <w:pPr>
        <w:spacing w:before="120"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Các vấn đề liên quan đến hoạt động đầu tư của BHXH chủ yếu do Hội đồng quản lý của BHXH quyết định, theo đó, không có quy định khác về phân cấp, phân quyền. </w:t>
      </w:r>
    </w:p>
    <w:p w:rsidR="006B5103" w:rsidRDefault="006B5103" w:rsidP="00614AD4">
      <w:pPr>
        <w:spacing w:before="120" w:after="0" w:line="240" w:lineRule="auto"/>
        <w:ind w:firstLine="709"/>
        <w:jc w:val="both"/>
        <w:rPr>
          <w:rFonts w:ascii="Times New Roman" w:hAnsi="Times New Roman" w:cs="Times New Roman"/>
          <w:sz w:val="28"/>
          <w:szCs w:val="28"/>
          <w:lang w:val="nl-NL"/>
        </w:rPr>
      </w:pPr>
      <w:r w:rsidRPr="006B5103">
        <w:rPr>
          <w:rFonts w:ascii="Times New Roman" w:hAnsi="Times New Roman" w:cs="Times New Roman"/>
          <w:b/>
          <w:sz w:val="28"/>
          <w:szCs w:val="28"/>
          <w:lang w:val="nl-NL"/>
        </w:rPr>
        <w:t>7</w:t>
      </w:r>
      <w:r w:rsidR="007253F8" w:rsidRPr="006B5103">
        <w:rPr>
          <w:rFonts w:ascii="Times New Roman" w:hAnsi="Times New Roman" w:cs="Times New Roman"/>
          <w:b/>
          <w:sz w:val="28"/>
          <w:szCs w:val="28"/>
          <w:lang w:val="nl-NL"/>
        </w:rPr>
        <w:t>.</w:t>
      </w:r>
      <w:r w:rsidR="007253F8" w:rsidRPr="00C64301">
        <w:rPr>
          <w:rFonts w:ascii="Times New Roman" w:hAnsi="Times New Roman" w:cs="Times New Roman"/>
          <w:sz w:val="28"/>
          <w:szCs w:val="28"/>
          <w:lang w:val="nl-NL"/>
        </w:rPr>
        <w:t xml:space="preserve"> </w:t>
      </w:r>
      <w:r w:rsidRPr="006B5103">
        <w:rPr>
          <w:rFonts w:ascii="Times New Roman" w:hAnsi="Times New Roman" w:cs="Times New Roman"/>
          <w:b/>
          <w:sz w:val="28"/>
          <w:szCs w:val="28"/>
          <w:lang w:val="nl-NL"/>
        </w:rPr>
        <w:t>Các vấn đề còn ý kiến khác nhau</w:t>
      </w:r>
    </w:p>
    <w:p w:rsidR="007A7C84" w:rsidRDefault="006B5103" w:rsidP="00614AD4">
      <w:pPr>
        <w:spacing w:before="120" w:after="0" w:line="240" w:lineRule="auto"/>
        <w:ind w:firstLine="709"/>
        <w:jc w:val="both"/>
        <w:rPr>
          <w:rFonts w:ascii="Times New Roman" w:hAnsi="Times New Roman" w:cs="Times New Roman"/>
          <w:sz w:val="28"/>
          <w:szCs w:val="28"/>
          <w:lang w:val="nl-NL"/>
        </w:rPr>
      </w:pPr>
      <w:r>
        <w:rPr>
          <w:rFonts w:ascii="Times New Roman" w:hAnsi="Times New Roman" w:cs="Times New Roman"/>
          <w:sz w:val="28"/>
          <w:szCs w:val="28"/>
          <w:lang w:val="nl-NL"/>
        </w:rPr>
        <w:t>D</w:t>
      </w:r>
      <w:r w:rsidR="00614AD4">
        <w:rPr>
          <w:rFonts w:ascii="Times New Roman" w:hAnsi="Times New Roman" w:cs="Times New Roman"/>
          <w:sz w:val="28"/>
          <w:szCs w:val="28"/>
          <w:lang w:val="nl-NL"/>
        </w:rPr>
        <w:t>ự thảo Nghị định đã cơ bản tiếp thu đầy đủ ý kiến các Bộ, ngành, theo đó, không còn vấn đề có ý kiến khác.</w:t>
      </w:r>
    </w:p>
    <w:p w:rsidR="007253F8" w:rsidRPr="0004302F" w:rsidRDefault="007253F8" w:rsidP="0004302F">
      <w:pPr>
        <w:spacing w:before="120" w:after="0" w:line="240" w:lineRule="auto"/>
        <w:ind w:left="360" w:firstLine="360"/>
        <w:jc w:val="both"/>
        <w:rPr>
          <w:rFonts w:ascii="Times New Roman" w:hAnsi="Times New Roman" w:cs="Times New Roman"/>
          <w:sz w:val="28"/>
          <w:szCs w:val="28"/>
          <w:lang w:val="nl-NL"/>
        </w:rPr>
      </w:pPr>
    </w:p>
    <w:p w:rsidR="007253F8" w:rsidRPr="0004302F" w:rsidRDefault="007253F8" w:rsidP="0004302F">
      <w:pPr>
        <w:spacing w:before="120" w:after="0" w:line="240" w:lineRule="auto"/>
        <w:ind w:left="360" w:firstLine="360"/>
        <w:jc w:val="both"/>
        <w:rPr>
          <w:rFonts w:ascii="Times New Roman" w:hAnsi="Times New Roman" w:cs="Times New Roman"/>
          <w:sz w:val="28"/>
          <w:szCs w:val="28"/>
          <w:lang w:val="nl-NL"/>
        </w:rPr>
      </w:pPr>
    </w:p>
    <w:p w:rsidR="00752C41" w:rsidRPr="0004302F" w:rsidRDefault="00752C41" w:rsidP="0004302F">
      <w:pPr>
        <w:spacing w:before="120" w:after="0" w:line="240" w:lineRule="auto"/>
        <w:jc w:val="center"/>
        <w:rPr>
          <w:rFonts w:ascii="Times New Roman" w:hAnsi="Times New Roman" w:cs="Times New Roman"/>
          <w:b/>
          <w:sz w:val="28"/>
          <w:szCs w:val="28"/>
        </w:rPr>
      </w:pPr>
      <w:bookmarkStart w:id="0" w:name="_GoBack"/>
      <w:bookmarkEnd w:id="0"/>
    </w:p>
    <w:sectPr w:rsidR="00752C41" w:rsidRPr="0004302F" w:rsidSect="0004302F">
      <w:pgSz w:w="11907" w:h="16839" w:code="9"/>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739" w:rsidRDefault="00B40739" w:rsidP="007253F8">
      <w:pPr>
        <w:spacing w:after="0" w:line="240" w:lineRule="auto"/>
      </w:pPr>
      <w:r>
        <w:separator/>
      </w:r>
    </w:p>
  </w:endnote>
  <w:endnote w:type="continuationSeparator" w:id="0">
    <w:p w:rsidR="00B40739" w:rsidRDefault="00B40739" w:rsidP="00725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739" w:rsidRDefault="00B40739" w:rsidP="007253F8">
      <w:pPr>
        <w:spacing w:after="0" w:line="240" w:lineRule="auto"/>
      </w:pPr>
      <w:r>
        <w:separator/>
      </w:r>
    </w:p>
  </w:footnote>
  <w:footnote w:type="continuationSeparator" w:id="0">
    <w:p w:rsidR="00B40739" w:rsidRDefault="00B40739" w:rsidP="007253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61354"/>
    <w:multiLevelType w:val="hybridMultilevel"/>
    <w:tmpl w:val="8DA6B61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2957030"/>
    <w:multiLevelType w:val="hybridMultilevel"/>
    <w:tmpl w:val="FA403344"/>
    <w:lvl w:ilvl="0" w:tplc="BE3A5784">
      <w:start w:val="1"/>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52C41"/>
    <w:rsid w:val="0004302F"/>
    <w:rsid w:val="00092B42"/>
    <w:rsid w:val="000A759A"/>
    <w:rsid w:val="000E7CCB"/>
    <w:rsid w:val="00133F56"/>
    <w:rsid w:val="00167341"/>
    <w:rsid w:val="00195292"/>
    <w:rsid w:val="00213615"/>
    <w:rsid w:val="002147CE"/>
    <w:rsid w:val="002208EA"/>
    <w:rsid w:val="003435A7"/>
    <w:rsid w:val="00351F34"/>
    <w:rsid w:val="003E363E"/>
    <w:rsid w:val="003E607B"/>
    <w:rsid w:val="00474E42"/>
    <w:rsid w:val="004975B6"/>
    <w:rsid w:val="004D61FA"/>
    <w:rsid w:val="004F7385"/>
    <w:rsid w:val="005705EA"/>
    <w:rsid w:val="005C492B"/>
    <w:rsid w:val="00614AD4"/>
    <w:rsid w:val="006B5103"/>
    <w:rsid w:val="007253F8"/>
    <w:rsid w:val="00746A17"/>
    <w:rsid w:val="00752C41"/>
    <w:rsid w:val="007A7C84"/>
    <w:rsid w:val="007F3F2A"/>
    <w:rsid w:val="00877CC1"/>
    <w:rsid w:val="00895341"/>
    <w:rsid w:val="008D6667"/>
    <w:rsid w:val="009342F9"/>
    <w:rsid w:val="009808FB"/>
    <w:rsid w:val="009B63ED"/>
    <w:rsid w:val="009F00CB"/>
    <w:rsid w:val="009F149F"/>
    <w:rsid w:val="00B24339"/>
    <w:rsid w:val="00B26C8C"/>
    <w:rsid w:val="00B40739"/>
    <w:rsid w:val="00B52363"/>
    <w:rsid w:val="00B96EA4"/>
    <w:rsid w:val="00BB5181"/>
    <w:rsid w:val="00BC6418"/>
    <w:rsid w:val="00C64301"/>
    <w:rsid w:val="00D14315"/>
    <w:rsid w:val="00DB1850"/>
    <w:rsid w:val="00DD244E"/>
    <w:rsid w:val="00F46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3ED"/>
  </w:style>
  <w:style w:type="paragraph" w:styleId="Heading4">
    <w:name w:val="heading 4"/>
    <w:basedOn w:val="Normal"/>
    <w:link w:val="Heading4Char"/>
    <w:uiPriority w:val="9"/>
    <w:qFormat/>
    <w:rsid w:val="007253F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53F8"/>
    <w:pPr>
      <w:ind w:left="720"/>
      <w:contextualSpacing/>
    </w:pPr>
  </w:style>
  <w:style w:type="character" w:customStyle="1" w:styleId="Heading4Char">
    <w:name w:val="Heading 4 Char"/>
    <w:basedOn w:val="DefaultParagraphFont"/>
    <w:link w:val="Heading4"/>
    <w:uiPriority w:val="9"/>
    <w:rsid w:val="007253F8"/>
    <w:rPr>
      <w:rFonts w:ascii="Times New Roman" w:eastAsia="Times New Roman" w:hAnsi="Times New Roman" w:cs="Times New Roman"/>
      <w:b/>
      <w:bCs/>
      <w:sz w:val="24"/>
      <w:szCs w:val="24"/>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t"/>
    <w:basedOn w:val="Normal"/>
    <w:link w:val="FootnoteTextChar"/>
    <w:uiPriority w:val="99"/>
    <w:unhideWhenUsed/>
    <w:qFormat/>
    <w:rsid w:val="007253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uiPriority w:val="99"/>
    <w:qFormat/>
    <w:rsid w:val="007253F8"/>
    <w:rPr>
      <w:rFonts w:ascii="Times New Roman" w:eastAsia="Times New Roman" w:hAnsi="Times New Roman" w:cs="Times New Roman"/>
      <w:sz w:val="20"/>
      <w:szCs w:val="20"/>
    </w:rPr>
  </w:style>
  <w:style w:type="character" w:styleId="FootnoteReference">
    <w:name w:val="footnote reference"/>
    <w:aliases w:val="Footnote,Footnote + Arial,10 pt,Black,ftref,(NECG) Footnote Reference,16 Point,Superscript 6 Point,Heading #1 + 4 pt,Not Bold1,Spacing 0 pt1,Body text (5) + 11 pt,Body text (9) + 11 pt,Bold1,Not Italic1,Scale 100%,15.5 pt,Ref,fr,f,R"/>
    <w:link w:val="4GCharCharChar"/>
    <w:uiPriority w:val="99"/>
    <w:unhideWhenUsed/>
    <w:qFormat/>
    <w:rsid w:val="007253F8"/>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qFormat/>
    <w:rsid w:val="007253F8"/>
    <w:pPr>
      <w:spacing w:before="100" w:after="0" w:line="240" w:lineRule="exact"/>
    </w:pPr>
    <w:rPr>
      <w:vertAlign w:val="superscript"/>
    </w:rPr>
  </w:style>
  <w:style w:type="paragraph" w:styleId="NormalWeb">
    <w:name w:val="Normal (Web)"/>
    <w:aliases w:val="Char Char Char Char Char Char Char Char Char Char Char,Normal (Web) Char Char, Char Char25,Char Char25,Char Char Char, Char Char Char,webb,Char Char Char Char Char Char Char Char Char Char,Char Char2 Char, Char Char,Char Cha,Обычный (веб)1"/>
    <w:basedOn w:val="Normal"/>
    <w:link w:val="NormalWebChar"/>
    <w:uiPriority w:val="99"/>
    <w:qFormat/>
    <w:rsid w:val="00746A1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WebChar">
    <w:name w:val="Normal (Web) Char"/>
    <w:aliases w:val="Char Char Char Char Char Char Char Char Char Char Char Char,Normal (Web) Char Char Char, Char Char25 Char,Char Char25 Char,Char Char Char Char, Char Char Char Char,webb Char,Char Char Char Char Char Char Char Char Char Char Char1"/>
    <w:link w:val="NormalWeb"/>
    <w:uiPriority w:val="99"/>
    <w:locked/>
    <w:rsid w:val="00746A17"/>
    <w:rPr>
      <w:rFonts w:ascii="Times New Roman" w:eastAsia="Times New Roman" w:hAnsi="Times New Roman" w:cs="Times New Roman"/>
      <w:sz w:val="24"/>
      <w:szCs w:val="24"/>
      <w:lang w:val="en-GB" w:eastAsia="en-GB"/>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uiPriority w:val="99"/>
    <w:rsid w:val="004F7385"/>
    <w:pPr>
      <w:spacing w:after="160" w:line="240" w:lineRule="exact"/>
    </w:pPr>
    <w:rPr>
      <w:rFonts w:ascii="Arial" w:eastAsia="Arial" w:hAnsi="Arial" w:cs="Times New Roman"/>
      <w:sz w:val="20"/>
      <w:szCs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F6763-C6E5-413B-B669-337587BD3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1114</Words>
  <Characters>6355</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 Thai Diem Linh</dc:creator>
  <cp:lastModifiedBy>phamvanhieu</cp:lastModifiedBy>
  <cp:revision>2</cp:revision>
  <cp:lastPrinted>2025-03-06T07:49:00Z</cp:lastPrinted>
  <dcterms:created xsi:type="dcterms:W3CDTF">2025-04-07T08:49:00Z</dcterms:created>
  <dcterms:modified xsi:type="dcterms:W3CDTF">2025-04-07T08:49:00Z</dcterms:modified>
</cp:coreProperties>
</file>